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2B59" w14:textId="77777777" w:rsidR="00041061" w:rsidRPr="00041061" w:rsidRDefault="00041061" w:rsidP="00041061">
      <w:pPr>
        <w:rPr>
          <w:b/>
          <w:bCs/>
          <w:sz w:val="32"/>
          <w:szCs w:val="32"/>
        </w:rPr>
      </w:pPr>
      <w:r w:rsidRPr="00041061">
        <w:rPr>
          <w:b/>
          <w:bCs/>
          <w:sz w:val="32"/>
          <w:szCs w:val="32"/>
        </w:rPr>
        <w:t xml:space="preserve">Retransmisión de Estados Financieros 3er. Trimestre 2015  </w:t>
      </w:r>
    </w:p>
    <w:p w14:paraId="0E029E8C" w14:textId="77777777" w:rsidR="00041061" w:rsidRDefault="00041061" w:rsidP="00041061">
      <w:r>
        <w:t xml:space="preserve"> </w:t>
      </w:r>
    </w:p>
    <w:p w14:paraId="15891097" w14:textId="77777777" w:rsidR="00041061" w:rsidRDefault="00041061" w:rsidP="00041061">
      <w:r>
        <w:t>Hechos Relevantes</w:t>
      </w:r>
    </w:p>
    <w:p w14:paraId="464E3F61" w14:textId="77777777" w:rsidR="00041061" w:rsidRDefault="00041061" w:rsidP="00041061">
      <w:r>
        <w:t>09 de septiembre de 2016</w:t>
      </w:r>
    </w:p>
    <w:p w14:paraId="42E253DD" w14:textId="77777777" w:rsidR="00041061" w:rsidRDefault="00041061" w:rsidP="00041061">
      <w:r>
        <w:t>ISA anuncia que los estados financieros separados y consolidados del tercer  trimestre de 2015 bajo NIIF, que se retransmitieron en la taxonomía XBRL a la Superintendencia Financiera de Colombia, presentan una diferencia con los inicialmente presentados el 26 y 27 de noviembre de 2015 para el respectivo trimestre, como consecuencia de la aplicación de lo establecido en el artículo 11 del Decreto 2496 de 2015, numeral 2. Este artículo permite a las entidades utilizar el método de participación para contabilizar las subsidiarias, negocios conjuntos y asociadas en sus estados financieros separados.</w:t>
      </w:r>
    </w:p>
    <w:p w14:paraId="7FB82723" w14:textId="77777777" w:rsidR="00041061" w:rsidRDefault="00041061" w:rsidP="00041061"/>
    <w:p w14:paraId="56C27275" w14:textId="77777777" w:rsidR="00041061" w:rsidRDefault="00041061" w:rsidP="00041061">
      <w:r>
        <w:t>La Compañía decidió aplicar anticipadamente las modificaciones a la NIC 27 - Método de Participación en los Estados Financieros Separados, generando el impacto desde la fecha de transición a las NIIF. Asociado a este mismo cambio, la</w:t>
      </w:r>
    </w:p>
    <w:p w14:paraId="7CADDF5F" w14:textId="77777777" w:rsidR="00041061" w:rsidRDefault="00041061" w:rsidP="00041061">
      <w:r>
        <w:t>Compañía optó por aplicar la exención contenida en el párrafo 39 de la NIC 12 respecto al reconocimiento del impuesto diferido.</w:t>
      </w:r>
    </w:p>
    <w:p w14:paraId="355F3CCB" w14:textId="77777777" w:rsidR="00041061" w:rsidRDefault="00041061" w:rsidP="00041061"/>
    <w:p w14:paraId="21AC0633" w14:textId="77777777" w:rsidR="00041061" w:rsidRDefault="00041061" w:rsidP="00041061">
      <w:r>
        <w:t>Por consiguiente, todos estos cambios que fueron registrados en los estados financieros separados de las compañías del grupo que les aplicaba, fueron incorporados en los estados financieros consolidados.</w:t>
      </w:r>
    </w:p>
    <w:p w14:paraId="5F768CD2" w14:textId="77777777" w:rsidR="00041061" w:rsidRDefault="00041061" w:rsidP="00041061"/>
    <w:p w14:paraId="62053A44" w14:textId="77777777" w:rsidR="00041061" w:rsidRDefault="00041061" w:rsidP="00041061">
      <w:r>
        <w:t>Los Estados Financieros correspondientes al año 2015 ya incorporan estos conceptos.</w:t>
      </w:r>
    </w:p>
    <w:p w14:paraId="7D9924B5" w14:textId="77777777" w:rsidR="00041061" w:rsidRDefault="00041061" w:rsidP="00041061"/>
    <w:p w14:paraId="77222412" w14:textId="77777777" w:rsidR="00041061" w:rsidRDefault="00041061" w:rsidP="00041061">
      <w:r>
        <w:t>Estados financieros separados</w:t>
      </w:r>
    </w:p>
    <w:p w14:paraId="73CEAB2A" w14:textId="77777777" w:rsidR="00041061" w:rsidRDefault="00041061" w:rsidP="00041061"/>
    <w:p w14:paraId="5A89685C" w14:textId="77777777" w:rsidR="00041061" w:rsidRDefault="00041061" w:rsidP="00041061">
      <w:r>
        <w:t>Los impactos fueron en:</w:t>
      </w:r>
    </w:p>
    <w:p w14:paraId="6475863C" w14:textId="77777777" w:rsidR="00041061" w:rsidRDefault="00041061" w:rsidP="00041061"/>
    <w:p w14:paraId="0BAB8C75" w14:textId="77777777" w:rsidR="00041061" w:rsidRDefault="00041061" w:rsidP="00041061">
      <w:r>
        <w:t>Activos: Aumento de las inversiones en subsidiarias y negocios conjuntos en $890.991.434 miles de pesos, producto de la aplicación del método de participación patrimonial en los estados financieros individuales.</w:t>
      </w:r>
    </w:p>
    <w:p w14:paraId="4F38241E" w14:textId="77777777" w:rsidR="00041061" w:rsidRDefault="00041061" w:rsidP="00041061"/>
    <w:p w14:paraId="37CE74E8" w14:textId="77777777" w:rsidR="00041061" w:rsidRDefault="00041061" w:rsidP="00041061">
      <w:r>
        <w:t>Pasivos: Disminución del impuesto diferido en $523.757.371 miles de pesos, como resultado de la adopción de la exención contenida en el párrafo 39 de la</w:t>
      </w:r>
    </w:p>
    <w:p w14:paraId="0667B23D" w14:textId="77777777" w:rsidR="00041061" w:rsidRDefault="00041061" w:rsidP="00041061">
      <w:r>
        <w:t>NIC 12.</w:t>
      </w:r>
    </w:p>
    <w:p w14:paraId="532D8C5A" w14:textId="77777777" w:rsidR="00041061" w:rsidRDefault="00041061" w:rsidP="00041061"/>
    <w:p w14:paraId="156E2965" w14:textId="77777777" w:rsidR="00041061" w:rsidRDefault="00041061" w:rsidP="00041061">
      <w:r>
        <w:t>Patrimonio: Incremento en el patrimonio por aplicación del método de participación en subsidiarias y negocios conjuntos y el ajuste en el impuesto diferido.</w:t>
      </w:r>
    </w:p>
    <w:p w14:paraId="3E36D338" w14:textId="77777777" w:rsidR="00041061" w:rsidRDefault="00041061" w:rsidP="00041061"/>
    <w:p w14:paraId="5851E8C7" w14:textId="77777777" w:rsidR="00041061" w:rsidRDefault="00041061" w:rsidP="00041061">
      <w:r>
        <w:t xml:space="preserve">Estado de resultado Integral: Los resultados del periodo presentan un  incremento de $240.499.262 miles de pesos, explicado por el incremento en la aplicación del método de participación en subsidiarias y negocios conjuntos en $323.595.304 miles de pesos, compensado por menores ingresos por el retiro del ingreso por dividendos en </w:t>
      </w:r>
      <w:r>
        <w:lastRenderedPageBreak/>
        <w:t>$77.789.213 miles de pesos y el ajuste en la provisión de renta en $5.306.829 miles de pesos.</w:t>
      </w:r>
    </w:p>
    <w:p w14:paraId="595C078A" w14:textId="77777777" w:rsidR="00041061" w:rsidRDefault="00041061" w:rsidP="00041061"/>
    <w:p w14:paraId="3A9A0C87" w14:textId="77777777" w:rsidR="00041061" w:rsidRDefault="00041061" w:rsidP="00041061">
      <w:r>
        <w:t>Estados financieros consolidados</w:t>
      </w:r>
    </w:p>
    <w:p w14:paraId="42DF7740" w14:textId="77777777" w:rsidR="00041061" w:rsidRDefault="00041061" w:rsidP="00041061"/>
    <w:p w14:paraId="11EEB4C9" w14:textId="77777777" w:rsidR="00041061" w:rsidRDefault="00041061" w:rsidP="00041061">
      <w:r>
        <w:t>Los impactos principales fueron en:</w:t>
      </w:r>
    </w:p>
    <w:p w14:paraId="0D9A3107" w14:textId="77777777" w:rsidR="00041061" w:rsidRDefault="00041061" w:rsidP="00041061"/>
    <w:p w14:paraId="6F57A13F" w14:textId="77777777" w:rsidR="00041061" w:rsidRDefault="00041061" w:rsidP="00041061">
      <w:r>
        <w:t>Activos: Disminución de $26.137.721 miles de pesos, como resultado neto de la aplicación de la exención contenida en el párrafo 39 de la NIC 12 respecto al reconocimiento del impuesto diferido.</w:t>
      </w:r>
    </w:p>
    <w:p w14:paraId="0FD1E793" w14:textId="77777777" w:rsidR="00041061" w:rsidRDefault="00041061" w:rsidP="00041061"/>
    <w:p w14:paraId="02ADA548" w14:textId="77777777" w:rsidR="00041061" w:rsidRDefault="00041061" w:rsidP="00041061">
      <w:r>
        <w:t>Pasivos: Disminución del impuesto diferido en $526.269.073 miles de pesos, como resultado principalmente de la adopción de la exención contenida en el párrafo 39 de la NIC 12.</w:t>
      </w:r>
    </w:p>
    <w:p w14:paraId="5AAA7B72" w14:textId="77777777" w:rsidR="00041061" w:rsidRDefault="00041061" w:rsidP="00041061"/>
    <w:p w14:paraId="594E9869" w14:textId="77777777" w:rsidR="00041061" w:rsidRDefault="00041061" w:rsidP="00041061">
      <w:r>
        <w:t>Patrimonio: Incremento por $500.131.352 miles de pesos, debido al ajuste en el impuesto diferido mencionado anteriormente.</w:t>
      </w:r>
    </w:p>
    <w:p w14:paraId="3739D660" w14:textId="77777777" w:rsidR="00041061" w:rsidRDefault="00041061" w:rsidP="00041061"/>
    <w:p w14:paraId="0685278F" w14:textId="40E1FFBC" w:rsidR="00D131E7" w:rsidRDefault="00041061" w:rsidP="00041061">
      <w:r>
        <w:t>Estado de resultado Integral: Los resultados del periodo presentan una disminución de $4.496.674 miles de pesos, principalmente por el ajuste en la provisión de renta.</w:t>
      </w:r>
    </w:p>
    <w:sectPr w:rsidR="00D131E7" w:rsidSect="007D0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1"/>
    <w:rsid w:val="00041061"/>
    <w:rsid w:val="007D00AB"/>
    <w:rsid w:val="00D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E1839"/>
  <w15:chartTrackingRefBased/>
  <w15:docId w15:val="{A0BBACCB-0564-6F4C-A54D-34250622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Melborp</dc:creator>
  <cp:keywords/>
  <dc:description/>
  <cp:lastModifiedBy>Digital Melborp</cp:lastModifiedBy>
  <cp:revision>1</cp:revision>
  <dcterms:created xsi:type="dcterms:W3CDTF">2020-12-14T14:07:00Z</dcterms:created>
  <dcterms:modified xsi:type="dcterms:W3CDTF">2020-12-14T14:08:00Z</dcterms:modified>
</cp:coreProperties>
</file>